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ascii="黑体" w:hAnsi="黑体" w:eastAsia="黑体"/>
          <w:sz w:val="32"/>
          <w:szCs w:val="32"/>
        </w:rPr>
        <w:t>济源市人民医院空调</w:t>
      </w:r>
      <w:r>
        <w:rPr>
          <w:rFonts w:hint="eastAsia" w:ascii="黑体" w:hAnsi="黑体" w:eastAsia="黑体"/>
          <w:sz w:val="32"/>
          <w:szCs w:val="32"/>
          <w:lang w:val="en-US" w:eastAsia="zh-CN"/>
        </w:rPr>
        <w:t>暖通设备</w:t>
      </w:r>
      <w:r>
        <w:rPr>
          <w:rFonts w:ascii="黑体" w:hAnsi="黑体" w:eastAsia="黑体"/>
          <w:sz w:val="32"/>
          <w:szCs w:val="32"/>
        </w:rPr>
        <w:t>维修改造遴选供应商方案</w:t>
      </w:r>
    </w:p>
    <w:p>
      <w:pPr>
        <w:keepNext w:val="0"/>
        <w:keepLines w:val="0"/>
        <w:pageBreakBefore w:val="0"/>
        <w:widowControl/>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bCs/>
          <w:sz w:val="28"/>
          <w:szCs w:val="28"/>
        </w:rPr>
      </w:pPr>
      <w:r>
        <w:rPr>
          <w:rFonts w:hint="eastAsia"/>
          <w:bCs/>
          <w:sz w:val="28"/>
          <w:szCs w:val="28"/>
        </w:rPr>
        <w:t xml:space="preserve">   </w:t>
      </w:r>
      <w:r>
        <w:rPr>
          <w:rFonts w:hint="eastAsia" w:asciiTheme="minorEastAsia" w:hAnsiTheme="minorEastAsia" w:eastAsiaTheme="minorEastAsia"/>
          <w:bCs/>
          <w:sz w:val="28"/>
          <w:szCs w:val="28"/>
        </w:rPr>
        <w:t xml:space="preserve"> </w:t>
      </w: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color w:val="auto"/>
          <w:sz w:val="28"/>
          <w:szCs w:val="28"/>
        </w:rPr>
        <w:t>济源市人民医院就医院</w:t>
      </w:r>
      <w:r>
        <w:rPr>
          <w:rFonts w:hint="eastAsia" w:ascii="宋体" w:hAnsi="宋体" w:eastAsia="宋体" w:cs="宋体"/>
          <w:bCs/>
          <w:color w:val="auto"/>
          <w:sz w:val="28"/>
          <w:szCs w:val="28"/>
          <w:lang w:eastAsia="zh-CN"/>
        </w:rPr>
        <w:t>和社区</w:t>
      </w:r>
      <w:r>
        <w:rPr>
          <w:rFonts w:hint="eastAsia" w:cs="宋体"/>
          <w:bCs/>
          <w:color w:val="auto"/>
          <w:sz w:val="28"/>
          <w:szCs w:val="28"/>
          <w:lang w:val="en-US" w:eastAsia="zh-CN"/>
        </w:rPr>
        <w:t>体检中心空调</w:t>
      </w:r>
      <w:r>
        <w:rPr>
          <w:rFonts w:hint="eastAsia" w:ascii="宋体" w:hAnsi="宋体" w:eastAsia="宋体" w:cs="宋体"/>
          <w:bCs/>
          <w:color w:val="auto"/>
          <w:sz w:val="28"/>
          <w:szCs w:val="28"/>
        </w:rPr>
        <w:t>暖通</w:t>
      </w:r>
      <w:r>
        <w:rPr>
          <w:rFonts w:hint="eastAsia" w:cs="宋体"/>
          <w:bCs/>
          <w:color w:val="auto"/>
          <w:sz w:val="28"/>
          <w:szCs w:val="28"/>
          <w:lang w:val="en-US" w:eastAsia="zh-CN"/>
        </w:rPr>
        <w:t>设备</w:t>
      </w:r>
      <w:r>
        <w:rPr>
          <w:rFonts w:hint="eastAsia" w:ascii="宋体" w:hAnsi="宋体" w:eastAsia="宋体" w:cs="宋体"/>
          <w:bCs/>
          <w:color w:val="auto"/>
          <w:sz w:val="28"/>
          <w:szCs w:val="28"/>
        </w:rPr>
        <w:t>的日常维</w:t>
      </w:r>
      <w:r>
        <w:rPr>
          <w:rFonts w:hint="eastAsia" w:cs="宋体"/>
          <w:bCs/>
          <w:color w:val="auto"/>
          <w:sz w:val="28"/>
          <w:szCs w:val="28"/>
          <w:lang w:val="en-US" w:eastAsia="zh-CN"/>
        </w:rPr>
        <w:t>修</w:t>
      </w:r>
      <w:r>
        <w:rPr>
          <w:rFonts w:hint="eastAsia" w:ascii="宋体" w:hAnsi="宋体" w:eastAsia="宋体" w:cs="宋体"/>
          <w:bCs/>
          <w:color w:val="auto"/>
          <w:sz w:val="28"/>
          <w:szCs w:val="28"/>
        </w:rPr>
        <w:t>改造进行公开招</w:t>
      </w:r>
      <w:r>
        <w:rPr>
          <w:rFonts w:hint="eastAsia" w:ascii="宋体" w:hAnsi="宋体" w:eastAsia="宋体" w:cs="宋体"/>
          <w:bCs/>
          <w:sz w:val="28"/>
          <w:szCs w:val="28"/>
        </w:rPr>
        <w:t>标合格供应商，现邀请满足条件的合格供应商来参与竞争。</w:t>
      </w:r>
    </w:p>
    <w:p>
      <w:pPr>
        <w:pStyle w:val="4"/>
        <w:keepNext w:val="0"/>
        <w:keepLines w:val="0"/>
        <w:pageBreakBefore w:val="0"/>
        <w:widowControl/>
        <w:numPr>
          <w:ilvl w:val="0"/>
          <w:numId w:val="0"/>
        </w:numPr>
        <w:kinsoku/>
        <w:wordWrap/>
        <w:overflowPunct/>
        <w:topLinePunct w:val="0"/>
        <w:bidi w:val="0"/>
        <w:spacing w:line="380" w:lineRule="exact"/>
        <w:ind w:leftChars="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eastAsia="zh-CN"/>
        </w:rPr>
        <w:t>一、</w:t>
      </w:r>
      <w:r>
        <w:rPr>
          <w:rFonts w:hint="eastAsia" w:ascii="宋体" w:hAnsi="宋体" w:eastAsia="宋体" w:cs="宋体"/>
          <w:b/>
          <w:bCs w:val="0"/>
          <w:sz w:val="28"/>
          <w:szCs w:val="28"/>
        </w:rPr>
        <w:t>项目名称：</w:t>
      </w:r>
    </w:p>
    <w:p>
      <w:pPr>
        <w:pStyle w:val="4"/>
        <w:keepNext w:val="0"/>
        <w:keepLines w:val="0"/>
        <w:pageBreakBefore w:val="0"/>
        <w:widowControl/>
        <w:kinsoku/>
        <w:wordWrap/>
        <w:overflowPunct/>
        <w:topLinePunct w:val="0"/>
        <w:bidi w:val="0"/>
        <w:spacing w:line="3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济源市人民医院空调</w:t>
      </w:r>
      <w:r>
        <w:rPr>
          <w:rFonts w:hint="eastAsia" w:cs="宋体"/>
          <w:sz w:val="28"/>
          <w:szCs w:val="28"/>
          <w:lang w:val="en-US" w:eastAsia="zh-CN"/>
        </w:rPr>
        <w:t>暖通设备</w:t>
      </w:r>
      <w:r>
        <w:rPr>
          <w:rFonts w:hint="eastAsia" w:ascii="宋体" w:hAnsi="宋体" w:eastAsia="宋体" w:cs="宋体"/>
          <w:sz w:val="28"/>
          <w:szCs w:val="28"/>
        </w:rPr>
        <w:t>维</w:t>
      </w:r>
      <w:r>
        <w:rPr>
          <w:rFonts w:hint="eastAsia" w:cs="宋体"/>
          <w:sz w:val="28"/>
          <w:szCs w:val="28"/>
          <w:lang w:val="en-US" w:eastAsia="zh-CN"/>
        </w:rPr>
        <w:t>修</w:t>
      </w:r>
      <w:r>
        <w:rPr>
          <w:rFonts w:hint="eastAsia" w:ascii="宋体" w:hAnsi="宋体" w:eastAsia="宋体" w:cs="宋体"/>
          <w:sz w:val="28"/>
          <w:szCs w:val="28"/>
        </w:rPr>
        <w:t>改造遴选供应商</w:t>
      </w:r>
    </w:p>
    <w:p>
      <w:pPr>
        <w:keepNext w:val="0"/>
        <w:keepLines w:val="0"/>
        <w:pageBreakBefore w:val="0"/>
        <w:widowControl/>
        <w:kinsoku/>
        <w:wordWrap/>
        <w:overflowPunct/>
        <w:topLinePunct w:val="0"/>
        <w:bidi w:val="0"/>
        <w:spacing w:line="380" w:lineRule="exact"/>
        <w:textAlignment w:val="auto"/>
        <w:rPr>
          <w:rFonts w:hint="eastAsia" w:ascii="宋体" w:hAnsi="宋体" w:eastAsia="宋体" w:cs="宋体"/>
          <w:b/>
          <w:bCs w:val="0"/>
          <w:sz w:val="28"/>
          <w:szCs w:val="28"/>
        </w:rPr>
      </w:pPr>
      <w:r>
        <w:rPr>
          <w:rFonts w:hint="eastAsia" w:ascii="宋体" w:hAnsi="宋体" w:eastAsia="宋体" w:cs="宋体"/>
          <w:b/>
          <w:bCs w:val="0"/>
          <w:sz w:val="28"/>
          <w:szCs w:val="28"/>
        </w:rPr>
        <w:t>二、项目简介：</w:t>
      </w: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济源市人民医院</w:t>
      </w:r>
      <w:r>
        <w:rPr>
          <w:rFonts w:hint="eastAsia" w:cs="宋体"/>
          <w:bCs/>
          <w:sz w:val="28"/>
          <w:szCs w:val="28"/>
          <w:lang w:val="en-US" w:eastAsia="zh-CN"/>
        </w:rPr>
        <w:t>空调</w:t>
      </w:r>
      <w:r>
        <w:rPr>
          <w:rFonts w:hint="eastAsia" w:ascii="宋体" w:hAnsi="宋体" w:eastAsia="宋体" w:cs="宋体"/>
          <w:bCs/>
          <w:sz w:val="28"/>
          <w:szCs w:val="28"/>
        </w:rPr>
        <w:t>暖通设备已经运行</w:t>
      </w:r>
      <w:r>
        <w:rPr>
          <w:rFonts w:hint="eastAsia" w:cs="宋体"/>
          <w:bCs/>
          <w:sz w:val="28"/>
          <w:szCs w:val="28"/>
          <w:lang w:val="en-US" w:eastAsia="zh-CN"/>
        </w:rPr>
        <w:t>多</w:t>
      </w:r>
      <w:r>
        <w:rPr>
          <w:rFonts w:hint="eastAsia" w:ascii="宋体" w:hAnsi="宋体" w:eastAsia="宋体" w:cs="宋体"/>
          <w:bCs/>
          <w:sz w:val="28"/>
          <w:szCs w:val="28"/>
        </w:rPr>
        <w:t>年，维护改造频率和难度加大，为了保证维护改造质量和效果，现进行优质供应商的遴选，合格供应商入围有效期：</w:t>
      </w:r>
      <w:r>
        <w:rPr>
          <w:rFonts w:hint="eastAsia" w:cs="宋体"/>
          <w:bCs/>
          <w:sz w:val="28"/>
          <w:szCs w:val="28"/>
          <w:lang w:val="en-US" w:eastAsia="zh-CN"/>
        </w:rPr>
        <w:t>2</w:t>
      </w:r>
      <w:r>
        <w:rPr>
          <w:rFonts w:hint="eastAsia" w:ascii="宋体" w:hAnsi="宋体" w:eastAsia="宋体" w:cs="宋体"/>
          <w:bCs/>
          <w:sz w:val="28"/>
          <w:szCs w:val="28"/>
        </w:rPr>
        <w:t>年。（自合同签订之日起计算）</w:t>
      </w:r>
    </w:p>
    <w:p>
      <w:pPr>
        <w:keepNext w:val="0"/>
        <w:keepLines w:val="0"/>
        <w:pageBreakBefore w:val="0"/>
        <w:widowControl/>
        <w:numPr>
          <w:ilvl w:val="0"/>
          <w:numId w:val="1"/>
        </w:numPr>
        <w:kinsoku/>
        <w:wordWrap/>
        <w:overflowPunct/>
        <w:topLinePunct w:val="0"/>
        <w:bidi w:val="0"/>
        <w:spacing w:line="380" w:lineRule="exact"/>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项目内容：</w:t>
      </w:r>
    </w:p>
    <w:p>
      <w:pPr>
        <w:keepNext w:val="0"/>
        <w:keepLines w:val="0"/>
        <w:pageBreakBefore w:val="0"/>
        <w:widowControl/>
        <w:numPr>
          <w:ilvl w:val="0"/>
          <w:numId w:val="0"/>
        </w:numPr>
        <w:kinsoku/>
        <w:wordWrap/>
        <w:overflowPunct/>
        <w:topLinePunct w:val="0"/>
        <w:bidi w:val="0"/>
        <w:spacing w:line="380" w:lineRule="exact"/>
        <w:ind w:firstLine="560" w:firstLineChars="200"/>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该招标项目包括医院门诊楼、住院楼、医技楼</w:t>
      </w:r>
      <w:r>
        <w:rPr>
          <w:rFonts w:hint="eastAsia" w:cs="宋体"/>
          <w:bCs/>
          <w:sz w:val="28"/>
          <w:szCs w:val="28"/>
          <w:lang w:val="en-US" w:eastAsia="zh-CN"/>
        </w:rPr>
        <w:t>、锅炉房、社区体检中心</w:t>
      </w:r>
      <w:r>
        <w:rPr>
          <w:rFonts w:hint="eastAsia" w:ascii="宋体" w:hAnsi="宋体" w:eastAsia="宋体" w:cs="宋体"/>
          <w:bCs/>
          <w:sz w:val="28"/>
          <w:szCs w:val="28"/>
          <w:lang w:val="en-US" w:eastAsia="zh-CN"/>
        </w:rPr>
        <w:t>等空调、采暖</w:t>
      </w:r>
      <w:r>
        <w:rPr>
          <w:rFonts w:hint="eastAsia" w:cs="宋体"/>
          <w:bCs/>
          <w:sz w:val="28"/>
          <w:szCs w:val="28"/>
          <w:lang w:val="en-US" w:eastAsia="zh-CN"/>
        </w:rPr>
        <w:t>、通风设备及其管网的</w:t>
      </w:r>
      <w:r>
        <w:rPr>
          <w:rFonts w:hint="eastAsia" w:ascii="宋体" w:hAnsi="宋体" w:eastAsia="宋体" w:cs="宋体"/>
          <w:bCs/>
          <w:sz w:val="28"/>
          <w:szCs w:val="28"/>
          <w:lang w:val="en-US" w:eastAsia="zh-CN"/>
        </w:rPr>
        <w:t>维修维保改造等。具体如下：</w:t>
      </w:r>
    </w:p>
    <w:p>
      <w:pPr>
        <w:keepNext w:val="0"/>
        <w:keepLines w:val="0"/>
        <w:pageBreakBefore w:val="0"/>
        <w:widowControl/>
        <w:numPr>
          <w:ilvl w:val="0"/>
          <w:numId w:val="2"/>
        </w:numPr>
        <w:kinsoku/>
        <w:wordWrap/>
        <w:overflowPunct/>
        <w:topLinePunct w:val="0"/>
        <w:bidi w:val="0"/>
        <w:spacing w:line="380" w:lineRule="exact"/>
        <w:ind w:firstLine="560" w:firstLineChars="200"/>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门诊楼、住院楼、医技楼中央空调机房设备及主管网，包括空调主机、冷冻水泵、冷却水泵、补水设备、水处理设备、主管及阀门、屋顶冷却塔等；</w:t>
      </w:r>
    </w:p>
    <w:p>
      <w:pPr>
        <w:keepNext w:val="0"/>
        <w:keepLines w:val="0"/>
        <w:pageBreakBefore w:val="0"/>
        <w:widowControl/>
        <w:numPr>
          <w:ilvl w:val="0"/>
          <w:numId w:val="2"/>
        </w:numPr>
        <w:kinsoku/>
        <w:wordWrap/>
        <w:overflowPunct/>
        <w:topLinePunct w:val="0"/>
        <w:bidi w:val="0"/>
        <w:spacing w:line="380" w:lineRule="exact"/>
        <w:ind w:left="0" w:leftChars="0" w:firstLine="560" w:firstLineChars="200"/>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锅炉房、门诊楼、住院楼、医技楼的供暖设备及主管网，包括</w:t>
      </w:r>
      <w:r>
        <w:rPr>
          <w:rFonts w:hint="eastAsia" w:cs="宋体"/>
          <w:bCs/>
          <w:sz w:val="28"/>
          <w:szCs w:val="28"/>
          <w:lang w:val="en-US" w:eastAsia="zh-CN"/>
        </w:rPr>
        <w:t>锅炉设备、</w:t>
      </w:r>
      <w:r>
        <w:rPr>
          <w:rFonts w:hint="eastAsia" w:ascii="宋体" w:hAnsi="宋体" w:eastAsia="宋体" w:cs="宋体"/>
          <w:bCs/>
          <w:sz w:val="28"/>
          <w:szCs w:val="28"/>
          <w:lang w:val="en-US" w:eastAsia="zh-CN"/>
        </w:rPr>
        <w:t>热力交换器、水泵、水箱、软水设备、主管及阀门等；</w:t>
      </w:r>
    </w:p>
    <w:p>
      <w:pPr>
        <w:keepNext w:val="0"/>
        <w:keepLines w:val="0"/>
        <w:pageBreakBefore w:val="0"/>
        <w:widowControl/>
        <w:numPr>
          <w:ilvl w:val="0"/>
          <w:numId w:val="2"/>
        </w:numPr>
        <w:kinsoku/>
        <w:wordWrap/>
        <w:overflowPunct/>
        <w:topLinePunct w:val="0"/>
        <w:bidi w:val="0"/>
        <w:spacing w:line="380" w:lineRule="exact"/>
        <w:ind w:left="0" w:leftChars="0" w:firstLine="560" w:firstLineChars="200"/>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社区体检中心的中央空调系统，包括空调</w:t>
      </w:r>
      <w:r>
        <w:rPr>
          <w:rFonts w:hint="eastAsia" w:cs="宋体"/>
          <w:bCs/>
          <w:sz w:val="28"/>
          <w:szCs w:val="28"/>
          <w:lang w:val="en-US" w:eastAsia="zh-CN"/>
        </w:rPr>
        <w:t>主机、机房附属设备、末端风机盘管、系统管网等</w:t>
      </w:r>
      <w:r>
        <w:rPr>
          <w:rFonts w:hint="eastAsia" w:ascii="宋体" w:hAnsi="宋体" w:eastAsia="宋体" w:cs="宋体"/>
          <w:bCs/>
          <w:sz w:val="28"/>
          <w:szCs w:val="28"/>
          <w:lang w:val="en-US" w:eastAsia="zh-CN"/>
        </w:rPr>
        <w:t>。</w:t>
      </w:r>
    </w:p>
    <w:p>
      <w:pPr>
        <w:keepNext w:val="0"/>
        <w:keepLines w:val="0"/>
        <w:pageBreakBefore w:val="0"/>
        <w:widowControl/>
        <w:numPr>
          <w:ilvl w:val="0"/>
          <w:numId w:val="2"/>
        </w:numPr>
        <w:kinsoku/>
        <w:wordWrap/>
        <w:overflowPunct/>
        <w:topLinePunct w:val="0"/>
        <w:bidi w:val="0"/>
        <w:spacing w:line="380" w:lineRule="exact"/>
        <w:ind w:left="0" w:leftChars="0" w:firstLine="560" w:firstLineChars="200"/>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我院其他场所的相关设备。</w:t>
      </w:r>
    </w:p>
    <w:p>
      <w:pPr>
        <w:keepNext w:val="0"/>
        <w:keepLines w:val="0"/>
        <w:pageBreakBefore w:val="0"/>
        <w:widowControl/>
        <w:numPr>
          <w:ilvl w:val="0"/>
          <w:numId w:val="2"/>
        </w:numPr>
        <w:kinsoku/>
        <w:wordWrap/>
        <w:overflowPunct/>
        <w:topLinePunct w:val="0"/>
        <w:bidi w:val="0"/>
        <w:spacing w:line="380" w:lineRule="exact"/>
        <w:ind w:left="0" w:leftChars="0" w:firstLine="560" w:firstLineChars="200"/>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不含医院风机盘管末端</w:t>
      </w:r>
      <w:r>
        <w:rPr>
          <w:rFonts w:hint="eastAsia" w:cs="宋体"/>
          <w:bCs/>
          <w:sz w:val="28"/>
          <w:szCs w:val="28"/>
          <w:lang w:val="en-US" w:eastAsia="zh-CN"/>
        </w:rPr>
        <w:t>的</w:t>
      </w:r>
      <w:r>
        <w:rPr>
          <w:rFonts w:hint="eastAsia" w:ascii="宋体" w:hAnsi="宋体" w:eastAsia="宋体" w:cs="宋体"/>
          <w:bCs/>
          <w:sz w:val="28"/>
          <w:szCs w:val="28"/>
          <w:lang w:val="en-US" w:eastAsia="zh-CN"/>
        </w:rPr>
        <w:t>维护清洗。</w:t>
      </w:r>
    </w:p>
    <w:p>
      <w:pPr>
        <w:keepNext w:val="0"/>
        <w:keepLines w:val="0"/>
        <w:pageBreakBefore w:val="0"/>
        <w:widowControl/>
        <w:kinsoku/>
        <w:wordWrap/>
        <w:overflowPunct/>
        <w:topLinePunct w:val="0"/>
        <w:bidi w:val="0"/>
        <w:spacing w:line="380" w:lineRule="exact"/>
        <w:textAlignment w:val="auto"/>
        <w:rPr>
          <w:rFonts w:hint="eastAsia" w:ascii="宋体" w:hAnsi="宋体" w:eastAsia="宋体" w:cs="宋体"/>
          <w:b/>
          <w:bCs w:val="0"/>
          <w:sz w:val="28"/>
          <w:szCs w:val="28"/>
        </w:rPr>
      </w:pPr>
      <w:r>
        <w:rPr>
          <w:rFonts w:hint="eastAsia" w:ascii="宋体" w:hAnsi="宋体" w:eastAsia="宋体" w:cs="宋体"/>
          <w:b/>
          <w:bCs w:val="0"/>
          <w:sz w:val="28"/>
          <w:szCs w:val="28"/>
          <w:lang w:eastAsia="zh-CN"/>
        </w:rPr>
        <w:t>四</w:t>
      </w:r>
      <w:r>
        <w:rPr>
          <w:rFonts w:hint="eastAsia" w:ascii="宋体" w:hAnsi="宋体" w:eastAsia="宋体" w:cs="宋体"/>
          <w:b/>
          <w:bCs w:val="0"/>
          <w:sz w:val="28"/>
          <w:szCs w:val="28"/>
        </w:rPr>
        <w:t>、合格投标人的基本资质要求：</w:t>
      </w: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1.具有独立承担民事责任的能力；具有良好的商业信誉和健全的财务制度；具有履行合同所必需的设备和专业技术能力；营业执照经营范围应涵盖空调维修、维护、保养等项目；</w:t>
      </w: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2.参加政府采购活动的前三年内，在经营活动中没有重大违法记录；</w:t>
      </w: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3.本项目不接收联合体投报；</w:t>
      </w: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4.法律法规规定的其他条件。</w:t>
      </w: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rPr>
      </w:pP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rPr>
      </w:pP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rPr>
      </w:pPr>
    </w:p>
    <w:p>
      <w:pPr>
        <w:keepNext w:val="0"/>
        <w:keepLines w:val="0"/>
        <w:pageBreakBefore w:val="0"/>
        <w:widowControl/>
        <w:kinsoku/>
        <w:wordWrap/>
        <w:overflowPunct/>
        <w:topLinePunct w:val="0"/>
        <w:bidi w:val="0"/>
        <w:spacing w:line="380" w:lineRule="exact"/>
        <w:ind w:firstLine="560" w:firstLineChars="200"/>
        <w:textAlignment w:val="auto"/>
        <w:rPr>
          <w:rFonts w:hint="eastAsia" w:ascii="宋体" w:hAnsi="宋体" w:eastAsia="宋体" w:cs="宋体"/>
          <w:bCs/>
          <w:sz w:val="28"/>
          <w:szCs w:val="28"/>
          <w:lang w:eastAsia="zh-CN"/>
        </w:rPr>
      </w:pPr>
    </w:p>
    <w:p>
      <w:pPr>
        <w:keepNext w:val="0"/>
        <w:keepLines w:val="0"/>
        <w:pageBreakBefore w:val="0"/>
        <w:widowControl/>
        <w:kinsoku/>
        <w:wordWrap/>
        <w:overflowPunct/>
        <w:topLinePunct w:val="0"/>
        <w:bidi w:val="0"/>
        <w:spacing w:line="380" w:lineRule="exact"/>
        <w:textAlignment w:val="auto"/>
        <w:rPr>
          <w:rFonts w:hint="eastAsia" w:ascii="宋体" w:hAnsi="宋体" w:eastAsia="宋体" w:cs="宋体"/>
          <w:b/>
          <w:bCs w:val="0"/>
          <w:sz w:val="28"/>
          <w:szCs w:val="28"/>
        </w:rPr>
      </w:pPr>
      <w:r>
        <w:rPr>
          <w:rFonts w:hint="eastAsia" w:cs="宋体"/>
          <w:b/>
          <w:bCs w:val="0"/>
          <w:sz w:val="28"/>
          <w:szCs w:val="28"/>
          <w:lang w:eastAsia="zh-CN"/>
        </w:rPr>
        <w:t>五</w:t>
      </w:r>
      <w:r>
        <w:rPr>
          <w:rFonts w:hint="eastAsia" w:ascii="宋体" w:hAnsi="宋体" w:eastAsia="宋体" w:cs="宋体"/>
          <w:b/>
          <w:bCs w:val="0"/>
          <w:sz w:val="28"/>
          <w:szCs w:val="28"/>
        </w:rPr>
        <w:t>、</w:t>
      </w:r>
      <w:r>
        <w:rPr>
          <w:rFonts w:hint="eastAsia" w:cs="宋体"/>
          <w:b/>
          <w:bCs w:val="0"/>
          <w:sz w:val="28"/>
          <w:szCs w:val="28"/>
          <w:lang w:val="en-US" w:eastAsia="zh-CN"/>
        </w:rPr>
        <w:t>评</w:t>
      </w:r>
      <w:r>
        <w:rPr>
          <w:rFonts w:hint="eastAsia" w:ascii="宋体" w:hAnsi="宋体" w:eastAsia="宋体" w:cs="宋体"/>
          <w:b/>
          <w:bCs w:val="0"/>
          <w:sz w:val="28"/>
          <w:szCs w:val="28"/>
        </w:rPr>
        <w:t>分内容和标准：</w:t>
      </w:r>
    </w:p>
    <w:tbl>
      <w:tblPr>
        <w:tblStyle w:val="2"/>
        <w:tblW w:w="511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88"/>
        <w:gridCol w:w="1359"/>
        <w:gridCol w:w="58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853" w:type="pct"/>
            <w:vAlign w:val="center"/>
          </w:tcPr>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评分项目</w:t>
            </w:r>
          </w:p>
        </w:tc>
        <w:tc>
          <w:tcPr>
            <w:tcW w:w="779" w:type="pct"/>
            <w:vAlign w:val="center"/>
          </w:tcPr>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评分内容分值</w:t>
            </w:r>
          </w:p>
        </w:tc>
        <w:tc>
          <w:tcPr>
            <w:tcW w:w="3366" w:type="pct"/>
            <w:vAlign w:val="center"/>
          </w:tcPr>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9" w:hRule="atLeast"/>
          <w:jc w:val="center"/>
        </w:trPr>
        <w:tc>
          <w:tcPr>
            <w:tcW w:w="853" w:type="pct"/>
            <w:vAlign w:val="center"/>
          </w:tcPr>
          <w:p>
            <w:pPr>
              <w:keepNext w:val="0"/>
              <w:keepLines w:val="0"/>
              <w:pageBreakBefore w:val="0"/>
              <w:widowControl/>
              <w:kinsoku/>
              <w:wordWrap/>
              <w:overflowPunct/>
              <w:topLinePunct w:val="0"/>
              <w:bidi w:val="0"/>
              <w:adjustRightInd w:val="0"/>
              <w:snapToGrid w:val="0"/>
              <w:spacing w:line="380" w:lineRule="exact"/>
              <w:jc w:val="both"/>
              <w:textAlignment w:val="auto"/>
              <w:rPr>
                <w:rFonts w:hint="eastAsia" w:ascii="宋体" w:hAnsi="宋体" w:eastAsia="宋体" w:cs="宋体"/>
                <w:bCs/>
                <w:sz w:val="28"/>
                <w:szCs w:val="28"/>
              </w:rPr>
            </w:pPr>
            <w:r>
              <w:rPr>
                <w:rFonts w:hint="eastAsia" w:cs="宋体"/>
                <w:bCs/>
                <w:sz w:val="28"/>
                <w:szCs w:val="28"/>
                <w:lang w:val="en-US" w:eastAsia="zh-CN"/>
              </w:rPr>
              <w:t>价格</w:t>
            </w:r>
            <w:r>
              <w:rPr>
                <w:rFonts w:hint="eastAsia" w:ascii="宋体" w:hAnsi="宋体" w:eastAsia="宋体" w:cs="宋体"/>
                <w:bCs/>
                <w:sz w:val="28"/>
                <w:szCs w:val="28"/>
              </w:rPr>
              <w:t>部分</w:t>
            </w:r>
          </w:p>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
                <w:bCs/>
                <w:sz w:val="28"/>
                <w:szCs w:val="28"/>
              </w:rPr>
            </w:pPr>
            <w:r>
              <w:rPr>
                <w:rFonts w:hint="eastAsia" w:ascii="宋体" w:hAnsi="宋体" w:eastAsia="宋体" w:cs="宋体"/>
                <w:bCs/>
                <w:sz w:val="28"/>
                <w:szCs w:val="28"/>
              </w:rPr>
              <w:t>（</w:t>
            </w:r>
            <w:r>
              <w:rPr>
                <w:rFonts w:hint="eastAsia" w:cs="宋体"/>
                <w:bCs/>
                <w:sz w:val="28"/>
                <w:szCs w:val="28"/>
                <w:lang w:val="en-US" w:eastAsia="zh-CN"/>
              </w:rPr>
              <w:t>30</w:t>
            </w:r>
            <w:r>
              <w:rPr>
                <w:rFonts w:hint="eastAsia" w:ascii="宋体" w:hAnsi="宋体" w:eastAsia="宋体" w:cs="宋体"/>
                <w:bCs/>
                <w:sz w:val="28"/>
                <w:szCs w:val="28"/>
              </w:rPr>
              <w:t>分）</w:t>
            </w:r>
          </w:p>
        </w:tc>
        <w:tc>
          <w:tcPr>
            <w:tcW w:w="779" w:type="pct"/>
            <w:vAlign w:val="center"/>
          </w:tcPr>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
                <w:bCs/>
                <w:sz w:val="28"/>
                <w:szCs w:val="28"/>
              </w:rPr>
            </w:pPr>
            <w:r>
              <w:rPr>
                <w:rFonts w:hint="eastAsia" w:cs="宋体"/>
                <w:sz w:val="28"/>
                <w:szCs w:val="28"/>
                <w:lang w:val="en-US" w:eastAsia="zh-CN"/>
              </w:rPr>
              <w:t>维修报价</w:t>
            </w:r>
            <w:r>
              <w:rPr>
                <w:rFonts w:hint="eastAsia" w:ascii="宋体" w:hAnsi="宋体" w:eastAsia="宋体" w:cs="宋体"/>
                <w:sz w:val="28"/>
                <w:szCs w:val="28"/>
              </w:rPr>
              <w:t>（</w:t>
            </w:r>
            <w:r>
              <w:rPr>
                <w:rFonts w:hint="eastAsia" w:cs="宋体"/>
                <w:sz w:val="28"/>
                <w:szCs w:val="28"/>
                <w:lang w:val="en-US" w:eastAsia="zh-CN"/>
              </w:rPr>
              <w:t>30</w:t>
            </w:r>
            <w:r>
              <w:rPr>
                <w:rFonts w:hint="eastAsia" w:ascii="宋体" w:hAnsi="宋体" w:eastAsia="宋体" w:cs="宋体"/>
                <w:sz w:val="28"/>
                <w:szCs w:val="28"/>
              </w:rPr>
              <w:t>分）</w:t>
            </w:r>
          </w:p>
        </w:tc>
        <w:tc>
          <w:tcPr>
            <w:tcW w:w="3366" w:type="pct"/>
            <w:vAlign w:val="center"/>
          </w:tcPr>
          <w:p>
            <w:pPr>
              <w:keepNext w:val="0"/>
              <w:keepLines w:val="0"/>
              <w:pageBreakBefore w:val="0"/>
              <w:widowControl/>
              <w:numPr>
                <w:ilvl w:val="0"/>
                <w:numId w:val="0"/>
              </w:numPr>
              <w:kinsoku/>
              <w:wordWrap/>
              <w:overflowPunct/>
              <w:topLinePunct w:val="0"/>
              <w:bidi w:val="0"/>
              <w:adjustRightInd w:val="0"/>
              <w:snapToGrid w:val="0"/>
              <w:spacing w:line="380" w:lineRule="exact"/>
              <w:jc w:val="both"/>
              <w:textAlignment w:val="auto"/>
              <w:rPr>
                <w:rFonts w:hint="eastAsia" w:cs="宋体"/>
                <w:b w:val="0"/>
                <w:bCs w:val="0"/>
                <w:sz w:val="28"/>
                <w:szCs w:val="28"/>
                <w:lang w:val="en-US" w:eastAsia="zh-CN"/>
              </w:rPr>
            </w:pPr>
            <w:r>
              <w:rPr>
                <w:rFonts w:hint="eastAsia" w:cs="宋体"/>
                <w:b w:val="0"/>
                <w:bCs w:val="0"/>
                <w:sz w:val="28"/>
                <w:szCs w:val="28"/>
                <w:lang w:val="en-US" w:eastAsia="zh-CN"/>
              </w:rPr>
              <w:t>1、根据供应商提交的维修项目报价单进行打分。</w:t>
            </w:r>
          </w:p>
          <w:p>
            <w:pPr>
              <w:keepNext w:val="0"/>
              <w:keepLines w:val="0"/>
              <w:pageBreakBefore w:val="0"/>
              <w:widowControl/>
              <w:numPr>
                <w:ilvl w:val="0"/>
                <w:numId w:val="0"/>
              </w:numPr>
              <w:kinsoku/>
              <w:wordWrap/>
              <w:overflowPunct/>
              <w:topLinePunct w:val="0"/>
              <w:bidi w:val="0"/>
              <w:adjustRightInd w:val="0"/>
              <w:snapToGrid w:val="0"/>
              <w:spacing w:line="380" w:lineRule="exact"/>
              <w:jc w:val="both"/>
              <w:textAlignment w:val="auto"/>
              <w:rPr>
                <w:rFonts w:hint="default" w:cs="宋体"/>
                <w:b w:val="0"/>
                <w:bCs w:val="0"/>
                <w:sz w:val="28"/>
                <w:szCs w:val="28"/>
                <w:lang w:val="en-US" w:eastAsia="zh-CN"/>
              </w:rPr>
            </w:pPr>
            <w:r>
              <w:rPr>
                <w:rFonts w:hint="eastAsia" w:cs="宋体"/>
                <w:b w:val="0"/>
                <w:bCs w:val="0"/>
                <w:sz w:val="28"/>
                <w:szCs w:val="28"/>
                <w:lang w:val="en-US" w:eastAsia="zh-CN"/>
              </w:rPr>
              <w:t>2、维修项目报价单填写不规范不完整或明显偏离市场价格的报价为无效报价。报价单合计错误的以分项报价为准。</w:t>
            </w:r>
          </w:p>
          <w:p>
            <w:pPr>
              <w:keepNext w:val="0"/>
              <w:keepLines w:val="0"/>
              <w:pageBreakBefore w:val="0"/>
              <w:widowControl/>
              <w:numPr>
                <w:ilvl w:val="0"/>
                <w:numId w:val="0"/>
              </w:numPr>
              <w:kinsoku/>
              <w:wordWrap/>
              <w:overflowPunct/>
              <w:topLinePunct w:val="0"/>
              <w:bidi w:val="0"/>
              <w:adjustRightInd w:val="0"/>
              <w:snapToGrid w:val="0"/>
              <w:spacing w:line="380" w:lineRule="exact"/>
              <w:jc w:val="both"/>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3、经评审有效的最低价为基准价，供应商报价得分=30*</w:t>
            </w:r>
            <w:r>
              <w:rPr>
                <w:rFonts w:hint="eastAsia" w:ascii="宋体" w:hAnsi="宋体" w:eastAsia="宋体" w:cs="宋体"/>
                <w:b w:val="0"/>
                <w:bCs w:val="0"/>
                <w:sz w:val="28"/>
                <w:szCs w:val="28"/>
                <w:lang w:val="en-US" w:eastAsia="zh-CN"/>
              </w:rPr>
              <w:t>（评标基准价÷评标价）</w:t>
            </w:r>
          </w:p>
          <w:p>
            <w:pPr>
              <w:keepNext w:val="0"/>
              <w:keepLines w:val="0"/>
              <w:pageBreakBefore w:val="0"/>
              <w:widowControl/>
              <w:numPr>
                <w:ilvl w:val="0"/>
                <w:numId w:val="0"/>
              </w:numPr>
              <w:kinsoku/>
              <w:wordWrap/>
              <w:overflowPunct/>
              <w:topLinePunct w:val="0"/>
              <w:bidi w:val="0"/>
              <w:adjustRightInd w:val="0"/>
              <w:snapToGrid w:val="0"/>
              <w:spacing w:line="380" w:lineRule="exact"/>
              <w:jc w:val="both"/>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注：评标基准价为投标供应商中最低报价</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8" w:hRule="atLeast"/>
          <w:jc w:val="center"/>
        </w:trPr>
        <w:tc>
          <w:tcPr>
            <w:tcW w:w="853" w:type="pct"/>
            <w:vMerge w:val="restart"/>
            <w:vAlign w:val="center"/>
          </w:tcPr>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Cs/>
                <w:sz w:val="28"/>
                <w:szCs w:val="28"/>
              </w:rPr>
            </w:pPr>
            <w:r>
              <w:rPr>
                <w:rFonts w:hint="eastAsia" w:ascii="宋体" w:hAnsi="宋体" w:eastAsia="宋体" w:cs="宋体"/>
                <w:bCs/>
                <w:sz w:val="28"/>
                <w:szCs w:val="28"/>
              </w:rPr>
              <w:t>服务部分</w:t>
            </w:r>
          </w:p>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Cs/>
                <w:sz w:val="28"/>
                <w:szCs w:val="28"/>
                <w:highlight w:val="yellow"/>
              </w:rPr>
            </w:pPr>
            <w:r>
              <w:rPr>
                <w:rFonts w:hint="eastAsia" w:ascii="宋体" w:hAnsi="宋体" w:eastAsia="宋体" w:cs="宋体"/>
                <w:bCs/>
                <w:sz w:val="28"/>
                <w:szCs w:val="28"/>
              </w:rPr>
              <w:t>（</w:t>
            </w:r>
            <w:r>
              <w:rPr>
                <w:rFonts w:hint="eastAsia" w:cs="宋体"/>
                <w:bCs/>
                <w:sz w:val="28"/>
                <w:szCs w:val="28"/>
                <w:lang w:val="en-US" w:eastAsia="zh-CN"/>
              </w:rPr>
              <w:t>40</w:t>
            </w:r>
            <w:r>
              <w:rPr>
                <w:rFonts w:hint="eastAsia" w:ascii="宋体" w:hAnsi="宋体" w:eastAsia="宋体" w:cs="宋体"/>
                <w:bCs/>
                <w:sz w:val="28"/>
                <w:szCs w:val="28"/>
              </w:rPr>
              <w:t>分）</w:t>
            </w:r>
          </w:p>
        </w:tc>
        <w:tc>
          <w:tcPr>
            <w:tcW w:w="779" w:type="pct"/>
            <w:vAlign w:val="center"/>
          </w:tcPr>
          <w:p>
            <w:pPr>
              <w:keepNext w:val="0"/>
              <w:keepLines w:val="0"/>
              <w:pageBreakBefore w:val="0"/>
              <w:widowControl/>
              <w:kinsoku/>
              <w:wordWrap/>
              <w:overflowPunct/>
              <w:topLinePunct w:val="0"/>
              <w:bidi w:val="0"/>
              <w:spacing w:line="3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实施方案（</w:t>
            </w:r>
            <w:r>
              <w:rPr>
                <w:rFonts w:hint="eastAsia" w:cs="宋体"/>
                <w:sz w:val="28"/>
                <w:szCs w:val="28"/>
                <w:lang w:val="en-US" w:eastAsia="zh-CN"/>
              </w:rPr>
              <w:t>30</w:t>
            </w:r>
            <w:r>
              <w:rPr>
                <w:rFonts w:hint="eastAsia" w:ascii="宋体" w:hAnsi="宋体" w:eastAsia="宋体" w:cs="宋体"/>
                <w:sz w:val="28"/>
                <w:szCs w:val="28"/>
              </w:rPr>
              <w:t>分）</w:t>
            </w:r>
          </w:p>
        </w:tc>
        <w:tc>
          <w:tcPr>
            <w:tcW w:w="3366" w:type="pct"/>
            <w:vAlign w:val="center"/>
          </w:tcPr>
          <w:p>
            <w:pPr>
              <w:keepNext w:val="0"/>
              <w:keepLines w:val="0"/>
              <w:pageBreakBefore w:val="0"/>
              <w:widowControl/>
              <w:kinsoku/>
              <w:wordWrap/>
              <w:overflowPunct/>
              <w:topLinePunct w:val="0"/>
              <w:bidi w:val="0"/>
              <w:spacing w:line="380" w:lineRule="exact"/>
              <w:textAlignment w:val="auto"/>
              <w:rPr>
                <w:rFonts w:hint="eastAsia" w:ascii="宋体" w:hAnsi="宋体" w:eastAsia="宋体" w:cs="宋体"/>
                <w:sz w:val="28"/>
                <w:szCs w:val="28"/>
              </w:rPr>
            </w:pPr>
            <w:r>
              <w:rPr>
                <w:rFonts w:hint="eastAsia" w:ascii="宋体" w:hAnsi="宋体" w:eastAsia="宋体" w:cs="宋体"/>
                <w:sz w:val="28"/>
                <w:szCs w:val="28"/>
              </w:rPr>
              <w:t>供应商须针对本项目制定详细</w:t>
            </w:r>
            <w:r>
              <w:rPr>
                <w:rFonts w:hint="eastAsia" w:cs="宋体"/>
                <w:sz w:val="28"/>
                <w:szCs w:val="28"/>
                <w:lang w:val="en-US" w:eastAsia="zh-CN"/>
              </w:rPr>
              <w:t>实用</w:t>
            </w:r>
            <w:r>
              <w:rPr>
                <w:rFonts w:hint="eastAsia" w:ascii="宋体" w:hAnsi="宋体" w:eastAsia="宋体" w:cs="宋体"/>
                <w:sz w:val="28"/>
                <w:szCs w:val="28"/>
              </w:rPr>
              <w:t>的维保服务实施方案，根据项目维保服务方案设计的全面性、完整性、技术先进性、系统工序衔接合理性、技术措施可行性、疑难问题具体解决措施进行综合分析评分，</w:t>
            </w:r>
            <w:r>
              <w:rPr>
                <w:rFonts w:hint="eastAsia" w:cs="宋体"/>
                <w:sz w:val="28"/>
                <w:szCs w:val="28"/>
                <w:lang w:val="en-US" w:eastAsia="zh-CN"/>
              </w:rPr>
              <w:t>0</w:t>
            </w:r>
            <w:r>
              <w:rPr>
                <w:rFonts w:hint="eastAsia" w:ascii="宋体" w:hAnsi="宋体" w:eastAsia="宋体" w:cs="宋体"/>
                <w:sz w:val="28"/>
                <w:szCs w:val="28"/>
              </w:rPr>
              <w:t>～</w:t>
            </w:r>
            <w:r>
              <w:rPr>
                <w:rFonts w:hint="eastAsia" w:cs="宋体"/>
                <w:sz w:val="28"/>
                <w:szCs w:val="28"/>
                <w:lang w:val="en-US" w:eastAsia="zh-CN"/>
              </w:rPr>
              <w:t>30</w:t>
            </w:r>
            <w:r>
              <w:rPr>
                <w:rFonts w:hint="eastAsia" w:ascii="宋体" w:hAnsi="宋体" w:eastAsia="宋体" w:cs="宋体"/>
                <w:sz w:val="28"/>
                <w:szCs w:val="28"/>
              </w:rPr>
              <w:t>分内酌情打分。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1" w:hRule="atLeast"/>
          <w:jc w:val="center"/>
        </w:trPr>
        <w:tc>
          <w:tcPr>
            <w:tcW w:w="853" w:type="pct"/>
            <w:vMerge w:val="continue"/>
            <w:vAlign w:val="center"/>
          </w:tcPr>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Cs/>
                <w:sz w:val="28"/>
                <w:szCs w:val="28"/>
                <w:highlight w:val="yellow"/>
              </w:rPr>
            </w:pPr>
          </w:p>
        </w:tc>
        <w:tc>
          <w:tcPr>
            <w:tcW w:w="779" w:type="pct"/>
            <w:vAlign w:val="center"/>
          </w:tcPr>
          <w:p>
            <w:pPr>
              <w:keepNext w:val="0"/>
              <w:keepLines w:val="0"/>
              <w:pageBreakBefore w:val="0"/>
              <w:widowControl/>
              <w:kinsoku/>
              <w:wordWrap/>
              <w:overflowPunct/>
              <w:topLinePunct w:val="0"/>
              <w:bidi w:val="0"/>
              <w:spacing w:line="380" w:lineRule="exact"/>
              <w:jc w:val="left"/>
              <w:textAlignment w:val="auto"/>
              <w:rPr>
                <w:rFonts w:hint="eastAsia" w:ascii="宋体" w:hAnsi="宋体" w:eastAsia="宋体" w:cs="宋体"/>
                <w:bCs/>
                <w:sz w:val="28"/>
                <w:szCs w:val="28"/>
              </w:rPr>
            </w:pPr>
            <w:r>
              <w:rPr>
                <w:rFonts w:hint="eastAsia" w:ascii="宋体" w:hAnsi="宋体" w:eastAsia="宋体" w:cs="宋体"/>
                <w:bCs/>
                <w:sz w:val="28"/>
                <w:szCs w:val="28"/>
              </w:rPr>
              <w:t>处理故障的时间安排</w:t>
            </w:r>
          </w:p>
          <w:p>
            <w:pPr>
              <w:keepNext w:val="0"/>
              <w:keepLines w:val="0"/>
              <w:pageBreakBefore w:val="0"/>
              <w:widowControl/>
              <w:kinsoku/>
              <w:wordWrap/>
              <w:overflowPunct/>
              <w:topLinePunct w:val="0"/>
              <w:bidi w:val="0"/>
              <w:spacing w:line="380" w:lineRule="exact"/>
              <w:jc w:val="center"/>
              <w:textAlignment w:val="auto"/>
              <w:rPr>
                <w:rFonts w:hint="eastAsia" w:ascii="宋体" w:hAnsi="宋体" w:eastAsia="宋体" w:cs="宋体"/>
                <w:bCs/>
                <w:sz w:val="28"/>
                <w:szCs w:val="28"/>
              </w:rPr>
            </w:pPr>
            <w:r>
              <w:rPr>
                <w:rFonts w:hint="eastAsia" w:ascii="宋体" w:hAnsi="宋体" w:eastAsia="宋体" w:cs="宋体"/>
                <w:bCs/>
                <w:sz w:val="28"/>
                <w:szCs w:val="28"/>
              </w:rPr>
              <w:t>(</w:t>
            </w:r>
            <w:r>
              <w:rPr>
                <w:rFonts w:hint="eastAsia" w:cs="宋体"/>
                <w:bCs/>
                <w:sz w:val="28"/>
                <w:szCs w:val="28"/>
                <w:lang w:val="en-US" w:eastAsia="zh-CN"/>
              </w:rPr>
              <w:t>10</w:t>
            </w:r>
            <w:r>
              <w:rPr>
                <w:rFonts w:hint="eastAsia" w:ascii="宋体" w:hAnsi="宋体" w:eastAsia="宋体" w:cs="宋体"/>
                <w:bCs/>
                <w:sz w:val="28"/>
                <w:szCs w:val="28"/>
              </w:rPr>
              <w:t>分)</w:t>
            </w:r>
          </w:p>
        </w:tc>
        <w:tc>
          <w:tcPr>
            <w:tcW w:w="3366" w:type="pct"/>
            <w:vAlign w:val="center"/>
          </w:tcPr>
          <w:p>
            <w:pPr>
              <w:keepNext w:val="0"/>
              <w:keepLines w:val="0"/>
              <w:pageBreakBefore w:val="0"/>
              <w:widowControl/>
              <w:kinsoku/>
              <w:wordWrap/>
              <w:overflowPunct/>
              <w:topLinePunct w:val="0"/>
              <w:bidi w:val="0"/>
              <w:spacing w:line="380" w:lineRule="exact"/>
              <w:textAlignment w:val="auto"/>
              <w:rPr>
                <w:rFonts w:hint="eastAsia" w:ascii="宋体" w:hAnsi="宋体" w:eastAsia="宋体" w:cs="宋体"/>
                <w:bCs/>
                <w:sz w:val="28"/>
                <w:szCs w:val="28"/>
              </w:rPr>
            </w:pPr>
            <w:r>
              <w:rPr>
                <w:rFonts w:hint="eastAsia" w:ascii="宋体" w:hAnsi="宋体" w:eastAsia="宋体" w:cs="宋体"/>
                <w:bCs/>
                <w:sz w:val="28"/>
                <w:szCs w:val="28"/>
              </w:rPr>
              <w:t>供应商应在响应文件中对服务时间、初次电话响应时间及现场响应时间做出实质性承诺，磋商小组在响应时间满足项目要求的基础上，横向比较后酌情打</w:t>
            </w:r>
            <w:r>
              <w:rPr>
                <w:rFonts w:hint="eastAsia" w:cs="宋体"/>
                <w:bCs/>
                <w:sz w:val="28"/>
                <w:szCs w:val="28"/>
                <w:lang w:val="en-US" w:eastAsia="zh-CN"/>
              </w:rPr>
              <w:t>0</w:t>
            </w:r>
            <w:r>
              <w:rPr>
                <w:rFonts w:hint="eastAsia" w:ascii="宋体" w:hAnsi="宋体" w:eastAsia="宋体" w:cs="宋体"/>
                <w:bCs/>
                <w:sz w:val="28"/>
                <w:szCs w:val="28"/>
                <w:lang w:val="en-US" w:eastAsia="zh-CN"/>
              </w:rPr>
              <w:t>～</w:t>
            </w:r>
            <w:r>
              <w:rPr>
                <w:rFonts w:hint="eastAsia" w:cs="宋体"/>
                <w:bCs/>
                <w:sz w:val="28"/>
                <w:szCs w:val="28"/>
                <w:lang w:val="en-US" w:eastAsia="zh-CN"/>
              </w:rPr>
              <w:t>10</w:t>
            </w:r>
            <w:r>
              <w:rPr>
                <w:rFonts w:hint="eastAsia" w:ascii="宋体" w:hAnsi="宋体" w:eastAsia="宋体" w:cs="宋体"/>
                <w:bCs/>
                <w:sz w:val="28"/>
                <w:szCs w:val="28"/>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2" w:hRule="atLeast"/>
          <w:jc w:val="center"/>
        </w:trPr>
        <w:tc>
          <w:tcPr>
            <w:tcW w:w="853" w:type="pct"/>
            <w:vMerge w:val="restart"/>
            <w:vAlign w:val="center"/>
          </w:tcPr>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Cs/>
                <w:sz w:val="28"/>
                <w:szCs w:val="28"/>
                <w:highlight w:val="yellow"/>
              </w:rPr>
            </w:pPr>
            <w:r>
              <w:rPr>
                <w:rFonts w:hint="eastAsia" w:ascii="宋体" w:hAnsi="宋体" w:eastAsia="宋体" w:cs="宋体"/>
                <w:bCs/>
                <w:sz w:val="28"/>
                <w:szCs w:val="28"/>
              </w:rPr>
              <w:t>综合部分（</w:t>
            </w:r>
            <w:r>
              <w:rPr>
                <w:rFonts w:hint="eastAsia" w:cs="宋体"/>
                <w:bCs/>
                <w:sz w:val="28"/>
                <w:szCs w:val="28"/>
                <w:lang w:val="en-US" w:eastAsia="zh-CN"/>
              </w:rPr>
              <w:t>30</w:t>
            </w:r>
            <w:r>
              <w:rPr>
                <w:rFonts w:hint="eastAsia" w:ascii="宋体" w:hAnsi="宋体" w:eastAsia="宋体" w:cs="宋体"/>
                <w:bCs/>
                <w:sz w:val="28"/>
                <w:szCs w:val="28"/>
              </w:rPr>
              <w:t>分）</w:t>
            </w:r>
          </w:p>
        </w:tc>
        <w:tc>
          <w:tcPr>
            <w:tcW w:w="779" w:type="pct"/>
            <w:vAlign w:val="center"/>
          </w:tcPr>
          <w:p>
            <w:pPr>
              <w:keepNext w:val="0"/>
              <w:keepLines w:val="0"/>
              <w:pageBreakBefore w:val="0"/>
              <w:widowControl/>
              <w:kinsoku/>
              <w:wordWrap/>
              <w:overflowPunct/>
              <w:topLinePunct w:val="0"/>
              <w:bidi w:val="0"/>
              <w:spacing w:line="3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供应商实力</w:t>
            </w:r>
          </w:p>
          <w:p>
            <w:pPr>
              <w:keepNext w:val="0"/>
              <w:keepLines w:val="0"/>
              <w:pageBreakBefore w:val="0"/>
              <w:widowControl/>
              <w:kinsoku/>
              <w:wordWrap/>
              <w:overflowPunct/>
              <w:topLinePunct w:val="0"/>
              <w:bidi w:val="0"/>
              <w:spacing w:line="3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cs="宋体"/>
                <w:sz w:val="28"/>
                <w:szCs w:val="28"/>
                <w:lang w:val="en-US" w:eastAsia="zh-CN"/>
              </w:rPr>
              <w:t>0</w:t>
            </w:r>
            <w:r>
              <w:rPr>
                <w:rFonts w:hint="eastAsia" w:ascii="宋体" w:hAnsi="宋体" w:eastAsia="宋体" w:cs="宋体"/>
                <w:sz w:val="28"/>
                <w:szCs w:val="28"/>
              </w:rPr>
              <w:t>分）</w:t>
            </w:r>
          </w:p>
        </w:tc>
        <w:tc>
          <w:tcPr>
            <w:tcW w:w="3366" w:type="pct"/>
            <w:vAlign w:val="center"/>
          </w:tcPr>
          <w:p>
            <w:pPr>
              <w:keepNext w:val="0"/>
              <w:keepLines w:val="0"/>
              <w:pageBreakBefore w:val="0"/>
              <w:widowControl/>
              <w:kinsoku/>
              <w:wordWrap/>
              <w:overflowPunct/>
              <w:topLinePunct w:val="0"/>
              <w:autoSpaceDE w:val="0"/>
              <w:autoSpaceDN w:val="0"/>
              <w:bidi w:val="0"/>
              <w:adjustRightInd w:val="0"/>
              <w:snapToGrid w:val="0"/>
              <w:spacing w:line="380" w:lineRule="exact"/>
              <w:textAlignment w:val="auto"/>
              <w:rPr>
                <w:rFonts w:hint="eastAsia" w:ascii="宋体" w:hAnsi="宋体" w:eastAsia="宋体" w:cs="宋体"/>
                <w:b w:val="0"/>
                <w:bCs w:val="0"/>
                <w:color w:val="000000"/>
                <w:sz w:val="28"/>
                <w:szCs w:val="28"/>
                <w:highlight w:val="none"/>
              </w:rPr>
            </w:pPr>
            <w:r>
              <w:rPr>
                <w:rFonts w:hint="eastAsia" w:ascii="宋体" w:hAnsi="宋体" w:eastAsia="宋体" w:cs="宋体"/>
                <w:b w:val="0"/>
                <w:bCs w:val="0"/>
                <w:color w:val="000000"/>
                <w:sz w:val="28"/>
                <w:szCs w:val="28"/>
                <w:highlight w:val="none"/>
                <w:lang w:val="en-US" w:eastAsia="zh-CN"/>
              </w:rPr>
              <w:t>1、</w:t>
            </w:r>
            <w:r>
              <w:rPr>
                <w:rFonts w:hint="eastAsia" w:ascii="宋体" w:hAnsi="宋体" w:eastAsia="宋体" w:cs="宋体"/>
                <w:b w:val="0"/>
                <w:bCs w:val="0"/>
                <w:color w:val="000000"/>
                <w:sz w:val="28"/>
                <w:szCs w:val="28"/>
                <w:highlight w:val="none"/>
              </w:rPr>
              <w:t>营业执照经营范围符合要求得</w:t>
            </w:r>
            <w:r>
              <w:rPr>
                <w:rFonts w:hint="eastAsia" w:cs="宋体"/>
                <w:b w:val="0"/>
                <w:bCs w:val="0"/>
                <w:color w:val="000000"/>
                <w:sz w:val="28"/>
                <w:szCs w:val="28"/>
                <w:highlight w:val="none"/>
                <w:lang w:val="en-US" w:eastAsia="zh-CN"/>
              </w:rPr>
              <w:t>4</w:t>
            </w:r>
            <w:r>
              <w:rPr>
                <w:rFonts w:hint="eastAsia" w:ascii="宋体" w:hAnsi="宋体" w:eastAsia="宋体" w:cs="宋体"/>
                <w:b w:val="0"/>
                <w:bCs w:val="0"/>
                <w:color w:val="000000"/>
                <w:sz w:val="28"/>
                <w:szCs w:val="28"/>
                <w:highlight w:val="none"/>
              </w:rPr>
              <w:t>分；</w:t>
            </w:r>
          </w:p>
          <w:p>
            <w:pPr>
              <w:keepNext w:val="0"/>
              <w:keepLines w:val="0"/>
              <w:pageBreakBefore w:val="0"/>
              <w:widowControl/>
              <w:kinsoku/>
              <w:wordWrap/>
              <w:overflowPunct/>
              <w:topLinePunct w:val="0"/>
              <w:autoSpaceDE w:val="0"/>
              <w:autoSpaceDN w:val="0"/>
              <w:bidi w:val="0"/>
              <w:adjustRightInd w:val="0"/>
              <w:snapToGrid w:val="0"/>
              <w:spacing w:line="380" w:lineRule="exact"/>
              <w:textAlignment w:val="auto"/>
              <w:rPr>
                <w:rFonts w:hint="default" w:ascii="宋体" w:hAnsi="宋体" w:eastAsia="宋体" w:cs="宋体"/>
                <w:b w:val="0"/>
                <w:bCs w:val="0"/>
                <w:color w:val="000000"/>
                <w:sz w:val="28"/>
                <w:szCs w:val="28"/>
                <w:lang w:val="en-US" w:eastAsia="zh-CN"/>
              </w:rPr>
            </w:pPr>
            <w:r>
              <w:rPr>
                <w:rFonts w:hint="eastAsia" w:cs="宋体"/>
                <w:b w:val="0"/>
                <w:bCs w:val="0"/>
                <w:color w:val="000000"/>
                <w:sz w:val="28"/>
                <w:szCs w:val="28"/>
                <w:lang w:val="en-US" w:eastAsia="zh-CN"/>
              </w:rPr>
              <w:t>2、注册资金</w:t>
            </w:r>
            <w:r>
              <w:rPr>
                <w:rFonts w:hint="eastAsia" w:ascii="宋体" w:hAnsi="宋体" w:eastAsia="宋体" w:cs="宋体"/>
                <w:b w:val="0"/>
                <w:bCs w:val="0"/>
                <w:color w:val="000000"/>
                <w:sz w:val="28"/>
                <w:szCs w:val="28"/>
                <w:lang w:val="en-US" w:eastAsia="zh-CN"/>
              </w:rPr>
              <w:t>＜</w:t>
            </w:r>
            <w:r>
              <w:rPr>
                <w:rFonts w:hint="eastAsia" w:cs="宋体"/>
                <w:b w:val="0"/>
                <w:bCs w:val="0"/>
                <w:color w:val="000000"/>
                <w:sz w:val="28"/>
                <w:szCs w:val="28"/>
                <w:lang w:val="en-US" w:eastAsia="zh-CN"/>
              </w:rPr>
              <w:t>100万得2分，注册资金100</w:t>
            </w:r>
            <w:r>
              <w:rPr>
                <w:rFonts w:hint="eastAsia" w:ascii="宋体" w:hAnsi="宋体" w:eastAsia="宋体" w:cs="宋体"/>
                <w:b w:val="0"/>
                <w:bCs w:val="0"/>
                <w:color w:val="000000"/>
                <w:sz w:val="28"/>
                <w:szCs w:val="28"/>
                <w:lang w:val="en-US" w:eastAsia="zh-CN"/>
              </w:rPr>
              <w:t>～</w:t>
            </w:r>
            <w:r>
              <w:rPr>
                <w:rFonts w:hint="eastAsia" w:cs="宋体"/>
                <w:b w:val="0"/>
                <w:bCs w:val="0"/>
                <w:color w:val="000000"/>
                <w:sz w:val="28"/>
                <w:szCs w:val="28"/>
                <w:lang w:val="en-US" w:eastAsia="zh-CN"/>
              </w:rPr>
              <w:t>200万得4分，注册资金</w:t>
            </w:r>
            <w:r>
              <w:rPr>
                <w:rFonts w:hint="eastAsia" w:ascii="宋体" w:hAnsi="宋体" w:eastAsia="宋体" w:cs="宋体"/>
                <w:b w:val="0"/>
                <w:bCs w:val="0"/>
                <w:color w:val="000000"/>
                <w:sz w:val="28"/>
                <w:szCs w:val="28"/>
                <w:lang w:val="en-US" w:eastAsia="zh-CN"/>
              </w:rPr>
              <w:t>＞</w:t>
            </w:r>
            <w:r>
              <w:rPr>
                <w:rFonts w:hint="eastAsia" w:cs="宋体"/>
                <w:b w:val="0"/>
                <w:bCs w:val="0"/>
                <w:color w:val="000000"/>
                <w:sz w:val="28"/>
                <w:szCs w:val="28"/>
                <w:lang w:val="en-US" w:eastAsia="zh-CN"/>
              </w:rPr>
              <w:t>200万得6分。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1" w:hRule="atLeast"/>
          <w:jc w:val="center"/>
        </w:trPr>
        <w:tc>
          <w:tcPr>
            <w:tcW w:w="853" w:type="pct"/>
            <w:vMerge w:val="continue"/>
            <w:vAlign w:val="center"/>
          </w:tcPr>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Cs/>
                <w:sz w:val="28"/>
                <w:szCs w:val="28"/>
                <w:highlight w:val="yellow"/>
              </w:rPr>
            </w:pPr>
          </w:p>
        </w:tc>
        <w:tc>
          <w:tcPr>
            <w:tcW w:w="779" w:type="pct"/>
            <w:vAlign w:val="center"/>
          </w:tcPr>
          <w:p>
            <w:pPr>
              <w:keepNext w:val="0"/>
              <w:keepLines w:val="0"/>
              <w:pageBreakBefore w:val="0"/>
              <w:widowControl/>
              <w:kinsoku/>
              <w:wordWrap/>
              <w:overflowPunct/>
              <w:topLinePunct w:val="0"/>
              <w:bidi w:val="0"/>
              <w:spacing w:line="380" w:lineRule="exact"/>
              <w:jc w:val="center"/>
              <w:textAlignment w:val="auto"/>
              <w:rPr>
                <w:rFonts w:hint="eastAsia" w:ascii="宋体" w:hAnsi="宋体" w:eastAsia="宋体" w:cs="宋体"/>
                <w:color w:val="000000"/>
                <w:sz w:val="28"/>
                <w:szCs w:val="28"/>
                <w:lang w:val="en-US" w:eastAsia="zh-CN" w:bidi="ar-SA"/>
              </w:rPr>
            </w:pPr>
            <w:r>
              <w:rPr>
                <w:rFonts w:hint="eastAsia" w:cs="宋体"/>
                <w:color w:val="000000"/>
                <w:sz w:val="28"/>
                <w:szCs w:val="28"/>
                <w:lang w:val="en-US" w:eastAsia="zh-CN"/>
              </w:rPr>
              <w:t>技术支持</w:t>
            </w:r>
            <w:r>
              <w:rPr>
                <w:rFonts w:hint="eastAsia" w:ascii="宋体" w:hAnsi="宋体" w:eastAsia="宋体" w:cs="宋体"/>
                <w:color w:val="000000"/>
                <w:sz w:val="28"/>
                <w:szCs w:val="28"/>
              </w:rPr>
              <w:t>（1</w:t>
            </w:r>
            <w:r>
              <w:rPr>
                <w:rFonts w:hint="eastAsia" w:cs="宋体"/>
                <w:color w:val="000000"/>
                <w:sz w:val="28"/>
                <w:szCs w:val="28"/>
                <w:lang w:val="en-US" w:eastAsia="zh-CN"/>
              </w:rPr>
              <w:t>0</w:t>
            </w:r>
            <w:r>
              <w:rPr>
                <w:rFonts w:hint="eastAsia" w:ascii="宋体" w:hAnsi="宋体" w:eastAsia="宋体" w:cs="宋体"/>
                <w:color w:val="000000"/>
                <w:sz w:val="28"/>
                <w:szCs w:val="28"/>
              </w:rPr>
              <w:t>分）</w:t>
            </w:r>
          </w:p>
        </w:tc>
        <w:tc>
          <w:tcPr>
            <w:tcW w:w="3366" w:type="pct"/>
            <w:vAlign w:val="center"/>
          </w:tcPr>
          <w:p>
            <w:pPr>
              <w:keepNext w:val="0"/>
              <w:keepLines w:val="0"/>
              <w:pageBreakBefore w:val="0"/>
              <w:widowControl/>
              <w:numPr>
                <w:ilvl w:val="0"/>
                <w:numId w:val="3"/>
              </w:numPr>
              <w:kinsoku/>
              <w:wordWrap/>
              <w:overflowPunct/>
              <w:topLinePunct w:val="0"/>
              <w:bidi w:val="0"/>
              <w:spacing w:line="380" w:lineRule="exact"/>
              <w:textAlignment w:val="auto"/>
              <w:rPr>
                <w:rFonts w:hint="eastAsia" w:cs="宋体"/>
                <w:b w:val="0"/>
                <w:bCs w:val="0"/>
                <w:color w:val="000000"/>
                <w:sz w:val="28"/>
                <w:szCs w:val="28"/>
                <w:highlight w:val="none"/>
                <w:lang w:val="en-US" w:eastAsia="zh-CN"/>
              </w:rPr>
            </w:pPr>
            <w:r>
              <w:rPr>
                <w:rFonts w:hint="eastAsia" w:cs="宋体"/>
                <w:b w:val="0"/>
                <w:bCs w:val="0"/>
                <w:color w:val="000000"/>
                <w:sz w:val="28"/>
                <w:szCs w:val="28"/>
                <w:highlight w:val="none"/>
                <w:lang w:val="en-US" w:eastAsia="zh-CN"/>
              </w:rPr>
              <w:t>投标单位</w:t>
            </w:r>
            <w:r>
              <w:rPr>
                <w:rFonts w:hint="eastAsia" w:ascii="宋体" w:hAnsi="宋体" w:eastAsia="宋体" w:cs="宋体"/>
                <w:b w:val="0"/>
                <w:bCs w:val="0"/>
                <w:color w:val="000000"/>
                <w:sz w:val="28"/>
                <w:szCs w:val="28"/>
                <w:highlight w:val="none"/>
                <w:lang w:val="en-US" w:eastAsia="zh-CN"/>
              </w:rPr>
              <w:t>注册地在济源市</w:t>
            </w:r>
            <w:r>
              <w:rPr>
                <w:rFonts w:hint="eastAsia" w:cs="宋体"/>
                <w:b w:val="0"/>
                <w:bCs w:val="0"/>
                <w:color w:val="000000"/>
                <w:sz w:val="28"/>
                <w:szCs w:val="28"/>
                <w:highlight w:val="none"/>
                <w:lang w:val="en-US" w:eastAsia="zh-CN"/>
              </w:rPr>
              <w:t>，并</w:t>
            </w:r>
            <w:r>
              <w:rPr>
                <w:rFonts w:hint="eastAsia" w:ascii="宋体" w:hAnsi="宋体" w:eastAsia="宋体" w:cs="宋体"/>
                <w:bCs/>
                <w:sz w:val="28"/>
                <w:szCs w:val="28"/>
              </w:rPr>
              <w:t>设有24小时应急响应电话</w:t>
            </w:r>
            <w:r>
              <w:rPr>
                <w:rFonts w:hint="eastAsia" w:ascii="宋体" w:hAnsi="宋体" w:eastAsia="宋体" w:cs="宋体"/>
                <w:b w:val="0"/>
                <w:bCs w:val="0"/>
                <w:color w:val="000000"/>
                <w:sz w:val="28"/>
                <w:szCs w:val="28"/>
                <w:highlight w:val="none"/>
                <w:lang w:val="en-US" w:eastAsia="zh-CN"/>
              </w:rPr>
              <w:t>的得</w:t>
            </w:r>
            <w:r>
              <w:rPr>
                <w:rFonts w:hint="eastAsia" w:cs="宋体"/>
                <w:b w:val="0"/>
                <w:bCs w:val="0"/>
                <w:color w:val="000000"/>
                <w:sz w:val="28"/>
                <w:szCs w:val="28"/>
                <w:highlight w:val="none"/>
                <w:lang w:val="en-US" w:eastAsia="zh-CN"/>
              </w:rPr>
              <w:t>5</w:t>
            </w:r>
            <w:r>
              <w:rPr>
                <w:rFonts w:hint="eastAsia" w:ascii="宋体" w:hAnsi="宋体" w:eastAsia="宋体" w:cs="宋体"/>
                <w:b w:val="0"/>
                <w:bCs w:val="0"/>
                <w:color w:val="000000"/>
                <w:sz w:val="28"/>
                <w:szCs w:val="28"/>
                <w:highlight w:val="none"/>
                <w:lang w:val="en-US" w:eastAsia="zh-CN"/>
              </w:rPr>
              <w:t>分</w:t>
            </w:r>
            <w:r>
              <w:rPr>
                <w:rFonts w:hint="eastAsia" w:cs="宋体"/>
                <w:b w:val="0"/>
                <w:bCs w:val="0"/>
                <w:color w:val="000000"/>
                <w:sz w:val="28"/>
                <w:szCs w:val="28"/>
                <w:highlight w:val="none"/>
                <w:lang w:val="en-US" w:eastAsia="zh-CN"/>
              </w:rPr>
              <w:t>。</w:t>
            </w:r>
          </w:p>
          <w:p>
            <w:pPr>
              <w:keepNext w:val="0"/>
              <w:keepLines w:val="0"/>
              <w:pageBreakBefore w:val="0"/>
              <w:widowControl/>
              <w:numPr>
                <w:ilvl w:val="0"/>
                <w:numId w:val="3"/>
              </w:numPr>
              <w:kinsoku/>
              <w:wordWrap/>
              <w:overflowPunct/>
              <w:topLinePunct w:val="0"/>
              <w:bidi w:val="0"/>
              <w:spacing w:line="380" w:lineRule="exact"/>
              <w:textAlignment w:val="auto"/>
              <w:rPr>
                <w:rFonts w:hint="eastAsia" w:cs="宋体"/>
                <w:b w:val="0"/>
                <w:bCs w:val="0"/>
                <w:color w:val="000000"/>
                <w:sz w:val="28"/>
                <w:szCs w:val="28"/>
                <w:highlight w:val="none"/>
                <w:lang w:val="en-US" w:eastAsia="zh-CN"/>
              </w:rPr>
            </w:pPr>
            <w:r>
              <w:rPr>
                <w:rFonts w:hint="eastAsia" w:ascii="宋体" w:hAnsi="宋体" w:eastAsia="宋体" w:cs="宋体"/>
                <w:bCs/>
                <w:sz w:val="28"/>
                <w:szCs w:val="28"/>
              </w:rPr>
              <w:t>在项目实施地设有驻点技术维保人员，须提供</w:t>
            </w:r>
            <w:r>
              <w:rPr>
                <w:rFonts w:hint="eastAsia" w:cs="宋体"/>
                <w:bCs/>
                <w:sz w:val="28"/>
                <w:szCs w:val="28"/>
                <w:lang w:val="en-US" w:eastAsia="zh-CN"/>
              </w:rPr>
              <w:t>供应商在济源缴纳社保等证明材料，得5分。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8" w:hRule="atLeast"/>
          <w:jc w:val="center"/>
        </w:trPr>
        <w:tc>
          <w:tcPr>
            <w:tcW w:w="853" w:type="pct"/>
            <w:vMerge w:val="continue"/>
            <w:vAlign w:val="center"/>
          </w:tcPr>
          <w:p>
            <w:pPr>
              <w:keepNext w:val="0"/>
              <w:keepLines w:val="0"/>
              <w:pageBreakBefore w:val="0"/>
              <w:widowControl/>
              <w:kinsoku/>
              <w:wordWrap/>
              <w:overflowPunct/>
              <w:topLinePunct w:val="0"/>
              <w:bidi w:val="0"/>
              <w:adjustRightInd w:val="0"/>
              <w:snapToGrid w:val="0"/>
              <w:spacing w:line="380" w:lineRule="exact"/>
              <w:jc w:val="center"/>
              <w:textAlignment w:val="auto"/>
              <w:rPr>
                <w:rFonts w:hint="eastAsia" w:ascii="宋体" w:hAnsi="宋体" w:eastAsia="宋体" w:cs="宋体"/>
                <w:bCs/>
                <w:sz w:val="28"/>
                <w:szCs w:val="28"/>
                <w:highlight w:val="yellow"/>
              </w:rPr>
            </w:pPr>
          </w:p>
        </w:tc>
        <w:tc>
          <w:tcPr>
            <w:tcW w:w="779" w:type="pct"/>
            <w:vAlign w:val="center"/>
          </w:tcPr>
          <w:p>
            <w:pPr>
              <w:keepNext w:val="0"/>
              <w:keepLines w:val="0"/>
              <w:pageBreakBefore w:val="0"/>
              <w:widowControl/>
              <w:kinsoku/>
              <w:wordWrap/>
              <w:overflowPunct/>
              <w:topLinePunct w:val="0"/>
              <w:bidi w:val="0"/>
              <w:spacing w:line="38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综合评价</w:t>
            </w:r>
          </w:p>
          <w:p>
            <w:pPr>
              <w:keepNext w:val="0"/>
              <w:keepLines w:val="0"/>
              <w:pageBreakBefore w:val="0"/>
              <w:widowControl/>
              <w:kinsoku/>
              <w:wordWrap/>
              <w:overflowPunct/>
              <w:topLinePunct w:val="0"/>
              <w:bidi w:val="0"/>
              <w:spacing w:line="38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cs="宋体"/>
                <w:color w:val="000000"/>
                <w:sz w:val="28"/>
                <w:szCs w:val="28"/>
                <w:lang w:val="en-US" w:eastAsia="zh-CN"/>
              </w:rPr>
              <w:t>0</w:t>
            </w:r>
            <w:r>
              <w:rPr>
                <w:rFonts w:hint="eastAsia" w:ascii="宋体" w:hAnsi="宋体" w:eastAsia="宋体" w:cs="宋体"/>
                <w:color w:val="000000"/>
                <w:sz w:val="28"/>
                <w:szCs w:val="28"/>
              </w:rPr>
              <w:t>分）</w:t>
            </w:r>
          </w:p>
        </w:tc>
        <w:tc>
          <w:tcPr>
            <w:tcW w:w="3366" w:type="pct"/>
            <w:vAlign w:val="center"/>
          </w:tcPr>
          <w:p>
            <w:pPr>
              <w:keepNext w:val="0"/>
              <w:keepLines w:val="0"/>
              <w:pageBreakBefore w:val="0"/>
              <w:widowControl/>
              <w:kinsoku/>
              <w:wordWrap/>
              <w:overflowPunct/>
              <w:topLinePunct w:val="0"/>
              <w:bidi w:val="0"/>
              <w:spacing w:line="38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根据供应商的技术实力、履约能力、服务承诺及响应程度的评标因素等内容进行综合评价，在</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rPr>
              <w:t>分内酌情打分。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3274"/>
    <w:multiLevelType w:val="singleLevel"/>
    <w:tmpl w:val="07C73274"/>
    <w:lvl w:ilvl="0" w:tentative="0">
      <w:start w:val="1"/>
      <w:numFmt w:val="decimal"/>
      <w:suff w:val="nothing"/>
      <w:lvlText w:val="%1、"/>
      <w:lvlJc w:val="left"/>
    </w:lvl>
  </w:abstractNum>
  <w:abstractNum w:abstractNumId="1">
    <w:nsid w:val="08354662"/>
    <w:multiLevelType w:val="singleLevel"/>
    <w:tmpl w:val="08354662"/>
    <w:lvl w:ilvl="0" w:tentative="0">
      <w:start w:val="1"/>
      <w:numFmt w:val="decimal"/>
      <w:suff w:val="nothing"/>
      <w:lvlText w:val="%1、"/>
      <w:lvlJc w:val="left"/>
    </w:lvl>
  </w:abstractNum>
  <w:abstractNum w:abstractNumId="2">
    <w:nsid w:val="62A3996E"/>
    <w:multiLevelType w:val="singleLevel"/>
    <w:tmpl w:val="62A3996E"/>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603A3"/>
    <w:rsid w:val="15067E2C"/>
    <w:rsid w:val="2C19349E"/>
    <w:rsid w:val="2E8603A3"/>
    <w:rsid w:val="4FCE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2021-01-24T13:19:00Z</dcterms:created>
  <dc:creator>Administrator</dc:creator>
  <cp:lastModifiedBy>Administrator</cp:lastModifiedBy>
  <dcterms:modified xsi:type="dcterms:W3CDTF">2021-03-18T02:45:40Z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